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4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ANEXO 25</w:t>
      </w:r>
    </w:p>
    <w:p w:rsidR="00000000" w:rsidDel="00000000" w:rsidP="00000000" w:rsidRDefault="00000000" w:rsidRPr="00000000" w14:paraId="00000002">
      <w:pPr>
        <w:spacing w:after="0" w:line="240" w:lineRule="auto"/>
        <w:jc w:val="center"/>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03">
      <w:pPr>
        <w:spacing w:after="0" w:line="240" w:lineRule="auto"/>
        <w:jc w:val="center"/>
        <w:rPr>
          <w:rFonts w:ascii="Arial" w:cs="Arial" w:eastAsia="Arial" w:hAnsi="Arial"/>
        </w:rPr>
      </w:pPr>
      <w:r w:rsidDel="00000000" w:rsidR="00000000" w:rsidRPr="00000000">
        <w:rPr>
          <w:rFonts w:ascii="Arial" w:cs="Arial" w:eastAsia="Arial" w:hAnsi="Arial"/>
          <w:b w:val="1"/>
          <w:color w:val="000000"/>
          <w:rtl w:val="0"/>
        </w:rPr>
        <w:t xml:space="preserve">TERMO DE HOMOLOGAÇÃO DE PRESTAÇÃO DE CONTAS</w:t>
      </w:r>
      <w:r w:rsidDel="00000000" w:rsidR="00000000" w:rsidRPr="00000000">
        <w:rPr>
          <w:rtl w:val="0"/>
        </w:rPr>
      </w:r>
    </w:p>
    <w:p w:rsidR="00000000" w:rsidDel="00000000" w:rsidP="00000000" w:rsidRDefault="00000000" w:rsidRPr="00000000" w14:paraId="00000004">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05">
      <w:pPr>
        <w:spacing w:after="0" w:line="240" w:lineRule="auto"/>
        <w:rPr>
          <w:rFonts w:ascii="Arial" w:cs="Arial" w:eastAsia="Arial" w:hAnsi="Arial"/>
          <w:b w:val="1"/>
        </w:rPr>
      </w:pPr>
      <w:r w:rsidDel="00000000" w:rsidR="00000000" w:rsidRPr="00000000">
        <w:rPr>
          <w:rFonts w:ascii="Arial" w:cs="Arial" w:eastAsia="Arial" w:hAnsi="Arial"/>
          <w:b w:val="1"/>
          <w:rtl w:val="0"/>
        </w:rPr>
        <w:t xml:space="preserve">Nome da Organização da Sociedade Civil (OSC):</w:t>
      </w:r>
    </w:p>
    <w:p w:rsidR="00000000" w:rsidDel="00000000" w:rsidP="00000000" w:rsidRDefault="00000000" w:rsidRPr="00000000" w14:paraId="00000006">
      <w:pPr>
        <w:spacing w:after="0" w:line="240" w:lineRule="auto"/>
        <w:rPr>
          <w:rFonts w:ascii="Arial" w:cs="Arial" w:eastAsia="Arial" w:hAnsi="Arial"/>
          <w:b w:val="1"/>
        </w:rPr>
      </w:pPr>
      <w:r w:rsidDel="00000000" w:rsidR="00000000" w:rsidRPr="00000000">
        <w:rPr>
          <w:rFonts w:ascii="Arial" w:cs="Arial" w:eastAsia="Arial" w:hAnsi="Arial"/>
          <w:b w:val="1"/>
          <w:rtl w:val="0"/>
        </w:rPr>
        <w:t xml:space="preserve">N.º Processo:</w:t>
      </w:r>
    </w:p>
    <w:p w:rsidR="00000000" w:rsidDel="00000000" w:rsidP="00000000" w:rsidRDefault="00000000" w:rsidRPr="00000000" w14:paraId="00000007">
      <w:pPr>
        <w:spacing w:after="0" w:line="240" w:lineRule="auto"/>
        <w:rPr>
          <w:rFonts w:ascii="Arial" w:cs="Arial" w:eastAsia="Arial" w:hAnsi="Arial"/>
          <w:b w:val="1"/>
        </w:rPr>
      </w:pPr>
      <w:r w:rsidDel="00000000" w:rsidR="00000000" w:rsidRPr="00000000">
        <w:rPr>
          <w:rFonts w:ascii="Arial" w:cs="Arial" w:eastAsia="Arial" w:hAnsi="Arial"/>
          <w:b w:val="1"/>
          <w:rtl w:val="0"/>
        </w:rPr>
        <w:t xml:space="preserve">N.º/ano do Termo de Colaboração, de Fomento ou Acordo de Cooperação:</w:t>
      </w:r>
    </w:p>
    <w:p w:rsidR="00000000" w:rsidDel="00000000" w:rsidP="00000000" w:rsidRDefault="00000000" w:rsidRPr="00000000" w14:paraId="00000008">
      <w:pPr>
        <w:spacing w:after="0" w:line="240" w:lineRule="auto"/>
        <w:rPr>
          <w:rFonts w:ascii="Arial" w:cs="Arial" w:eastAsia="Arial" w:hAnsi="Arial"/>
          <w:b w:val="1"/>
        </w:rPr>
      </w:pPr>
      <w:r w:rsidDel="00000000" w:rsidR="00000000" w:rsidRPr="00000000">
        <w:rPr>
          <w:rFonts w:ascii="Arial" w:cs="Arial" w:eastAsia="Arial" w:hAnsi="Arial"/>
          <w:b w:val="1"/>
          <w:rtl w:val="0"/>
        </w:rPr>
        <w:t xml:space="preserve">Objeto:</w:t>
      </w:r>
    </w:p>
    <w:p w:rsidR="00000000" w:rsidDel="00000000" w:rsidP="00000000" w:rsidRDefault="00000000" w:rsidRPr="00000000" w14:paraId="00000009">
      <w:pPr>
        <w:spacing w:after="0" w:line="240" w:lineRule="auto"/>
        <w:rPr>
          <w:rFonts w:ascii="Arial" w:cs="Arial" w:eastAsia="Arial" w:hAnsi="Arial"/>
          <w:b w:val="1"/>
        </w:rPr>
      </w:pPr>
      <w:r w:rsidDel="00000000" w:rsidR="00000000" w:rsidRPr="00000000">
        <w:rPr>
          <w:rFonts w:ascii="Arial" w:cs="Arial" w:eastAsia="Arial" w:hAnsi="Arial"/>
          <w:b w:val="1"/>
          <w:rtl w:val="0"/>
        </w:rPr>
        <w:t xml:space="preserve">Valor repassado pela SETADES: R$</w:t>
      </w:r>
    </w:p>
    <w:p w:rsidR="00000000" w:rsidDel="00000000" w:rsidP="00000000" w:rsidRDefault="00000000" w:rsidRPr="00000000" w14:paraId="0000000A">
      <w:pPr>
        <w:spacing w:after="0" w:line="240" w:lineRule="auto"/>
        <w:rPr>
          <w:rFonts w:ascii="Arial" w:cs="Arial" w:eastAsia="Arial" w:hAnsi="Arial"/>
          <w:b w:val="1"/>
        </w:rPr>
      </w:pPr>
      <w:r w:rsidDel="00000000" w:rsidR="00000000" w:rsidRPr="00000000">
        <w:rPr>
          <w:rFonts w:ascii="Arial" w:cs="Arial" w:eastAsia="Arial" w:hAnsi="Arial"/>
          <w:b w:val="1"/>
          <w:rtl w:val="0"/>
        </w:rPr>
        <w:t xml:space="preserve">Recursos Próprios da OSC:</w:t>
      </w:r>
    </w:p>
    <w:p w:rsidR="00000000" w:rsidDel="00000000" w:rsidP="00000000" w:rsidRDefault="00000000" w:rsidRPr="00000000" w14:paraId="0000000B">
      <w:pPr>
        <w:spacing w:after="0" w:line="240" w:lineRule="auto"/>
        <w:rPr>
          <w:rFonts w:ascii="Arial" w:cs="Arial" w:eastAsia="Arial" w:hAnsi="Arial"/>
          <w:b w:val="1"/>
        </w:rPr>
      </w:pPr>
      <w:r w:rsidDel="00000000" w:rsidR="00000000" w:rsidRPr="00000000">
        <w:rPr>
          <w:rFonts w:ascii="Arial" w:cs="Arial" w:eastAsia="Arial" w:hAnsi="Arial"/>
          <w:b w:val="1"/>
          <w:rtl w:val="0"/>
        </w:rPr>
        <w:t xml:space="preserve">Período de vigência:</w:t>
      </w:r>
    </w:p>
    <w:p w:rsidR="00000000" w:rsidDel="00000000" w:rsidP="00000000" w:rsidRDefault="00000000" w:rsidRPr="00000000" w14:paraId="0000000C">
      <w:pPr>
        <w:spacing w:after="0" w:line="240" w:lineRule="auto"/>
        <w:rPr>
          <w:rFonts w:ascii="Arial" w:cs="Arial" w:eastAsia="Arial" w:hAnsi="Arial"/>
          <w:b w:val="1"/>
        </w:rPr>
      </w:pPr>
      <w:r w:rsidDel="00000000" w:rsidR="00000000" w:rsidRPr="00000000">
        <w:rPr>
          <w:rtl w:val="0"/>
        </w:rPr>
      </w:r>
    </w:p>
    <w:p w:rsidR="00000000" w:rsidDel="00000000" w:rsidP="00000000" w:rsidRDefault="00000000" w:rsidRPr="00000000" w14:paraId="0000000D">
      <w:pPr>
        <w:spacing w:after="0" w:line="240" w:lineRule="auto"/>
        <w:ind w:firstLine="708"/>
        <w:jc w:val="both"/>
        <w:rPr>
          <w:rFonts w:ascii="Arial" w:cs="Arial" w:eastAsia="Arial" w:hAnsi="Arial"/>
          <w:color w:val="000000"/>
        </w:rPr>
      </w:pPr>
      <w:r w:rsidDel="00000000" w:rsidR="00000000" w:rsidRPr="00000000">
        <w:rPr>
          <w:rFonts w:ascii="Arial" w:cs="Arial" w:eastAsia="Arial" w:hAnsi="Arial"/>
          <w:i w:val="1"/>
          <w:color w:val="c00000"/>
          <w:rtl w:val="0"/>
        </w:rPr>
        <w:t xml:space="preserve">Em todas as hipóteses, manter esse texto:</w:t>
      </w: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0E">
      <w:pPr>
        <w:spacing w:after="0" w:line="240" w:lineRule="auto"/>
        <w:ind w:firstLine="708"/>
        <w:jc w:val="both"/>
        <w:rPr>
          <w:rFonts w:ascii="Arial" w:cs="Arial" w:eastAsia="Arial" w:hAnsi="Arial"/>
          <w:b w:val="1"/>
          <w:i w:val="1"/>
          <w:color w:val="c00000"/>
        </w:rPr>
      </w:pPr>
      <w:r w:rsidDel="00000000" w:rsidR="00000000" w:rsidRPr="00000000">
        <w:rPr>
          <w:rFonts w:ascii="Arial" w:cs="Arial" w:eastAsia="Arial" w:hAnsi="Arial"/>
          <w:color w:val="000000"/>
          <w:rtl w:val="0"/>
        </w:rPr>
        <w:t xml:space="preserve">Em consonância com o disposto no § 1º, do art. 72, da Lei n.º 13.019, de 31 de julho de 2014, avalio a prestação de contas do termo de </w:t>
      </w:r>
      <w:r w:rsidDel="00000000" w:rsidR="00000000" w:rsidRPr="00000000">
        <w:rPr>
          <w:rFonts w:ascii="Arial" w:cs="Arial" w:eastAsia="Arial" w:hAnsi="Arial"/>
          <w:color w:val="c00000"/>
          <w:rtl w:val="0"/>
        </w:rPr>
        <w:t xml:space="preserve">[colaboração, de fomento ou acordo de cooperação]</w:t>
      </w:r>
      <w:r w:rsidDel="00000000" w:rsidR="00000000" w:rsidRPr="00000000">
        <w:rPr>
          <w:rFonts w:ascii="Arial" w:cs="Arial" w:eastAsia="Arial" w:hAnsi="Arial"/>
          <w:color w:val="000000"/>
          <w:rtl w:val="0"/>
        </w:rPr>
        <w:t xml:space="preserve"> n.º </w:t>
      </w:r>
      <w:r w:rsidDel="00000000" w:rsidR="00000000" w:rsidRPr="00000000">
        <w:rPr>
          <w:rFonts w:ascii="Arial" w:cs="Arial" w:eastAsia="Arial" w:hAnsi="Arial"/>
          <w:color w:val="c00000"/>
          <w:rtl w:val="0"/>
        </w:rPr>
        <w:t xml:space="preserve">[n.º/ano do termo]</w:t>
      </w:r>
      <w:r w:rsidDel="00000000" w:rsidR="00000000" w:rsidRPr="00000000">
        <w:rPr>
          <w:rFonts w:ascii="Arial" w:cs="Arial" w:eastAsia="Arial" w:hAnsi="Arial"/>
          <w:color w:val="000000"/>
          <w:rtl w:val="0"/>
        </w:rPr>
        <w:t xml:space="preserve"> como </w:t>
      </w:r>
      <w:r w:rsidDel="00000000" w:rsidR="00000000" w:rsidRPr="00000000">
        <w:rPr>
          <w:rFonts w:ascii="Arial" w:cs="Arial" w:eastAsia="Arial" w:hAnsi="Arial"/>
          <w:b w:val="1"/>
          <w:i w:val="1"/>
          <w:color w:val="c00000"/>
          <w:rtl w:val="0"/>
        </w:rPr>
        <w:t xml:space="preserve">[REGULAR,</w:t>
      </w:r>
      <w:r w:rsidDel="00000000" w:rsidR="00000000" w:rsidRPr="00000000">
        <w:rPr>
          <w:rFonts w:ascii="Arial" w:cs="Arial" w:eastAsia="Arial" w:hAnsi="Arial"/>
          <w:color w:val="c00000"/>
          <w:rtl w:val="0"/>
        </w:rPr>
        <w:t xml:space="preserve"> </w:t>
      </w:r>
      <w:r w:rsidDel="00000000" w:rsidR="00000000" w:rsidRPr="00000000">
        <w:rPr>
          <w:rFonts w:ascii="Arial" w:cs="Arial" w:eastAsia="Arial" w:hAnsi="Arial"/>
          <w:b w:val="1"/>
          <w:i w:val="1"/>
          <w:color w:val="c00000"/>
          <w:rtl w:val="0"/>
        </w:rPr>
        <w:t xml:space="preserve">REGULAR COM RESSALVA OU IRREGULAR].</w:t>
      </w:r>
    </w:p>
    <w:p w:rsidR="00000000" w:rsidDel="00000000" w:rsidP="00000000" w:rsidRDefault="00000000" w:rsidRPr="00000000" w14:paraId="0000000F">
      <w:pPr>
        <w:spacing w:after="0" w:line="240" w:lineRule="auto"/>
        <w:ind w:firstLine="708"/>
        <w:jc w:val="both"/>
        <w:rPr>
          <w:rFonts w:ascii="Arial" w:cs="Arial" w:eastAsia="Arial" w:hAnsi="Arial"/>
          <w:i w:val="1"/>
          <w:color w:val="c00000"/>
        </w:rPr>
      </w:pPr>
      <w:r w:rsidDel="00000000" w:rsidR="00000000" w:rsidRPr="00000000">
        <w:rPr>
          <w:rFonts w:ascii="Arial" w:cs="Arial" w:eastAsia="Arial" w:hAnsi="Arial"/>
          <w:i w:val="1"/>
          <w:color w:val="c00000"/>
          <w:rtl w:val="0"/>
        </w:rPr>
        <w:t xml:space="preserve">Em caso de regular com ressalva, acrescentar: </w:t>
      </w:r>
    </w:p>
    <w:p w:rsidR="00000000" w:rsidDel="00000000" w:rsidP="00000000" w:rsidRDefault="00000000" w:rsidRPr="00000000" w14:paraId="00000010">
      <w:pPr>
        <w:spacing w:after="0" w:line="240" w:lineRule="auto"/>
        <w:ind w:firstLine="708"/>
        <w:jc w:val="both"/>
        <w:rPr>
          <w:rFonts w:ascii="Arial" w:cs="Arial" w:eastAsia="Arial" w:hAnsi="Arial"/>
          <w:i w:val="1"/>
          <w:color w:val="000000"/>
        </w:rPr>
      </w:pPr>
      <w:r w:rsidDel="00000000" w:rsidR="00000000" w:rsidRPr="00000000">
        <w:rPr>
          <w:rFonts w:ascii="Arial" w:cs="Arial" w:eastAsia="Arial" w:hAnsi="Arial"/>
          <w:color w:val="000000"/>
          <w:rtl w:val="0"/>
        </w:rPr>
        <w:t xml:space="preserve">Considera-se a prestação de contas </w:t>
      </w:r>
      <w:r w:rsidDel="00000000" w:rsidR="00000000" w:rsidRPr="00000000">
        <w:rPr>
          <w:rFonts w:ascii="Arial" w:cs="Arial" w:eastAsia="Arial" w:hAnsi="Arial"/>
          <w:b w:val="1"/>
          <w:color w:val="000000"/>
          <w:rtl w:val="0"/>
        </w:rPr>
        <w:t xml:space="preserve">regular com ressalva</w:t>
      </w:r>
      <w:r w:rsidDel="00000000" w:rsidR="00000000" w:rsidRPr="00000000">
        <w:rPr>
          <w:rFonts w:ascii="Arial" w:cs="Arial" w:eastAsia="Arial" w:hAnsi="Arial"/>
          <w:color w:val="000000"/>
          <w:rtl w:val="0"/>
        </w:rPr>
        <w:t xml:space="preserve"> em virtude da(s) impropriedade(s) apontada(s) no(s) item(ns) constantes no processo, mas que não resultaram em dano ao erário.</w:t>
      </w:r>
      <w:r w:rsidDel="00000000" w:rsidR="00000000" w:rsidRPr="00000000">
        <w:rPr>
          <w:rtl w:val="0"/>
        </w:rPr>
      </w:r>
    </w:p>
    <w:p w:rsidR="00000000" w:rsidDel="00000000" w:rsidP="00000000" w:rsidRDefault="00000000" w:rsidRPr="00000000" w14:paraId="00000011">
      <w:pPr>
        <w:spacing w:after="0" w:line="240" w:lineRule="auto"/>
        <w:ind w:firstLine="708"/>
        <w:jc w:val="both"/>
        <w:rPr>
          <w:rFonts w:ascii="Arial" w:cs="Arial" w:eastAsia="Arial" w:hAnsi="Arial"/>
          <w:color w:val="000000"/>
        </w:rPr>
      </w:pPr>
      <w:r w:rsidDel="00000000" w:rsidR="00000000" w:rsidRPr="00000000">
        <w:rPr>
          <w:rFonts w:ascii="Arial" w:cs="Arial" w:eastAsia="Arial" w:hAnsi="Arial"/>
          <w:i w:val="1"/>
          <w:color w:val="c00000"/>
          <w:rtl w:val="0"/>
        </w:rPr>
        <w:t xml:space="preserve">Em caso de regular ou regular com ressalva, acrescentar:</w:t>
      </w: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12">
      <w:pPr>
        <w:spacing w:after="0" w:line="240" w:lineRule="auto"/>
        <w:ind w:firstLine="708"/>
        <w:jc w:val="both"/>
        <w:rPr>
          <w:rFonts w:ascii="Arial" w:cs="Arial" w:eastAsia="Arial" w:hAnsi="Arial"/>
          <w:color w:val="000000"/>
        </w:rPr>
      </w:pPr>
      <w:r w:rsidDel="00000000" w:rsidR="00000000" w:rsidRPr="00000000">
        <w:rPr>
          <w:rFonts w:ascii="Arial" w:cs="Arial" w:eastAsia="Arial" w:hAnsi="Arial"/>
          <w:color w:val="000000"/>
          <w:rtl w:val="0"/>
        </w:rPr>
        <w:t xml:space="preserve">A aprovação ora procedida está fundamentada no </w:t>
      </w:r>
      <w:r w:rsidDel="00000000" w:rsidR="00000000" w:rsidRPr="00000000">
        <w:rPr>
          <w:rFonts w:ascii="Arial" w:cs="Arial" w:eastAsia="Arial" w:hAnsi="Arial"/>
          <w:b w:val="1"/>
          <w:i w:val="1"/>
          <w:color w:val="000000"/>
          <w:rtl w:val="0"/>
        </w:rPr>
        <w:t xml:space="preserve">Parecer Técnico Conclusivo de Análise de Prestação de Contas Final</w:t>
      </w:r>
      <w:r w:rsidDel="00000000" w:rsidR="00000000" w:rsidRPr="00000000">
        <w:rPr>
          <w:rFonts w:ascii="Arial" w:cs="Arial" w:eastAsia="Arial" w:hAnsi="Arial"/>
          <w:color w:val="000000"/>
          <w:rtl w:val="0"/>
        </w:rPr>
        <w:t xml:space="preserve">, que se manifestou pela </w:t>
      </w:r>
      <w:r w:rsidDel="00000000" w:rsidR="00000000" w:rsidRPr="00000000">
        <w:rPr>
          <w:rFonts w:ascii="Arial" w:cs="Arial" w:eastAsia="Arial" w:hAnsi="Arial"/>
          <w:b w:val="1"/>
          <w:i w:val="1"/>
          <w:color w:val="c00000"/>
          <w:rtl w:val="0"/>
        </w:rPr>
        <w:t xml:space="preserve">[APROVAÇÃO OU APROVAÇÃO COM RESSALVAS] </w:t>
      </w:r>
      <w:r w:rsidDel="00000000" w:rsidR="00000000" w:rsidRPr="00000000">
        <w:rPr>
          <w:rFonts w:ascii="Arial" w:cs="Arial" w:eastAsia="Arial" w:hAnsi="Arial"/>
          <w:rtl w:val="0"/>
        </w:rPr>
        <w:t xml:space="preserve">da prestação de contas</w:t>
      </w:r>
      <w:r w:rsidDel="00000000" w:rsidR="00000000" w:rsidRPr="00000000">
        <w:rPr>
          <w:rFonts w:ascii="Arial" w:cs="Arial" w:eastAsia="Arial" w:hAnsi="Arial"/>
          <w:color w:val="000000"/>
          <w:rtl w:val="0"/>
        </w:rPr>
        <w:t xml:space="preserve">, </w:t>
      </w:r>
      <w:r w:rsidDel="00000000" w:rsidR="00000000" w:rsidRPr="00000000">
        <w:rPr>
          <w:rFonts w:ascii="Arial" w:cs="Arial" w:eastAsia="Arial" w:hAnsi="Arial"/>
          <w:color w:val="c00000"/>
          <w:rtl w:val="0"/>
        </w:rPr>
        <w:t xml:space="preserve">[e quando for o caso]</w:t>
      </w:r>
      <w:r w:rsidDel="00000000" w:rsidR="00000000" w:rsidRPr="00000000">
        <w:rPr>
          <w:rFonts w:ascii="Arial" w:cs="Arial" w:eastAsia="Arial" w:hAnsi="Arial"/>
          <w:color w:val="000000"/>
          <w:rtl w:val="0"/>
        </w:rPr>
        <w:t xml:space="preserve"> no </w:t>
      </w:r>
      <w:r w:rsidDel="00000000" w:rsidR="00000000" w:rsidRPr="00000000">
        <w:rPr>
          <w:rFonts w:ascii="Arial" w:cs="Arial" w:eastAsia="Arial" w:hAnsi="Arial"/>
          <w:b w:val="1"/>
          <w:i w:val="1"/>
          <w:rtl w:val="0"/>
        </w:rPr>
        <w:t xml:space="preserve">Relatório Técnico-Financeiro de Análise de Prestação de Contas Final</w:t>
      </w:r>
      <w:r w:rsidDel="00000000" w:rsidR="00000000" w:rsidRPr="00000000">
        <w:rPr>
          <w:rFonts w:ascii="Arial" w:cs="Arial" w:eastAsia="Arial" w:hAnsi="Arial"/>
          <w:color w:val="000000"/>
          <w:rtl w:val="0"/>
        </w:rPr>
        <w:t xml:space="preserve">, bem como na documentação constante do referido processo, o qual, de acordo com a legislação vigente, poderá ser desarquivado a qualquer tempo em caso de denúncia ou de irregularidade que venha ao conhecimento desta Secretaria de Estado de Trabalho, Assistência e Desenvolvimento Social - SETADES, envolvendo o termo ora aprovado, para que seja apurada a responsabilidade do dirigente responsável pela aplicação dos recursos.</w:t>
      </w:r>
    </w:p>
    <w:p w:rsidR="00000000" w:rsidDel="00000000" w:rsidP="00000000" w:rsidRDefault="00000000" w:rsidRPr="00000000" w14:paraId="00000013">
      <w:pPr>
        <w:spacing w:after="0" w:line="240" w:lineRule="auto"/>
        <w:ind w:firstLine="708"/>
        <w:jc w:val="both"/>
        <w:rPr>
          <w:rFonts w:ascii="Arial" w:cs="Arial" w:eastAsia="Arial" w:hAnsi="Arial"/>
        </w:rPr>
      </w:pPr>
      <w:r w:rsidDel="00000000" w:rsidR="00000000" w:rsidRPr="00000000">
        <w:rPr>
          <w:rFonts w:ascii="Arial" w:cs="Arial" w:eastAsia="Arial" w:hAnsi="Arial"/>
          <w:i w:val="1"/>
          <w:color w:val="c00000"/>
          <w:rtl w:val="0"/>
        </w:rPr>
        <w:t xml:space="preserve">Em caso de irregular ou de rescisão unilateral da parceria, acrescentar e adaptar conforme o caso:</w:t>
      </w:r>
      <w:r w:rsidDel="00000000" w:rsidR="00000000" w:rsidRPr="00000000">
        <w:rPr>
          <w:rFonts w:ascii="Arial" w:cs="Arial" w:eastAsia="Arial" w:hAnsi="Arial"/>
          <w:rtl w:val="0"/>
        </w:rPr>
        <w:t xml:space="preserve"> </w:t>
      </w:r>
    </w:p>
    <w:p w:rsidR="00000000" w:rsidDel="00000000" w:rsidP="00000000" w:rsidRDefault="00000000" w:rsidRPr="00000000" w14:paraId="00000014">
      <w:pPr>
        <w:spacing w:after="0" w:line="240" w:lineRule="auto"/>
        <w:ind w:firstLine="708"/>
        <w:jc w:val="both"/>
        <w:rPr>
          <w:rFonts w:ascii="Arial" w:cs="Arial" w:eastAsia="Arial" w:hAnsi="Arial"/>
          <w:color w:val="000000"/>
        </w:rPr>
      </w:pPr>
      <w:r w:rsidDel="00000000" w:rsidR="00000000" w:rsidRPr="00000000">
        <w:rPr>
          <w:rFonts w:ascii="Arial" w:cs="Arial" w:eastAsia="Arial" w:hAnsi="Arial"/>
          <w:rtl w:val="0"/>
        </w:rPr>
        <w:t xml:space="preserve">Considera-se a prestação de contas </w:t>
      </w:r>
      <w:r w:rsidDel="00000000" w:rsidR="00000000" w:rsidRPr="00000000">
        <w:rPr>
          <w:rFonts w:ascii="Arial" w:cs="Arial" w:eastAsia="Arial" w:hAnsi="Arial"/>
          <w:b w:val="1"/>
          <w:rtl w:val="0"/>
        </w:rPr>
        <w:t xml:space="preserve">irregular</w:t>
      </w:r>
      <w:r w:rsidDel="00000000" w:rsidR="00000000" w:rsidRPr="00000000">
        <w:rPr>
          <w:rFonts w:ascii="Arial" w:cs="Arial" w:eastAsia="Arial" w:hAnsi="Arial"/>
          <w:rtl w:val="0"/>
        </w:rPr>
        <w:t xml:space="preserve">, pois ficou comprovada </w:t>
      </w:r>
      <w:r w:rsidDel="00000000" w:rsidR="00000000" w:rsidRPr="00000000">
        <w:rPr>
          <w:rFonts w:ascii="Arial" w:cs="Arial" w:eastAsia="Arial" w:hAnsi="Arial"/>
          <w:color w:val="c00000"/>
          <w:rtl w:val="0"/>
        </w:rPr>
        <w:t xml:space="preserve">[a omissão do dever de prestar contas, irregularidades e inexecução do objeto, o descumprimento injustificado dos objetivos e metas estabelecidos no plano de trabalho, o dano ao erário decorrente de ato de gestão ilegítimo ou antieconômico e/ou desfalque ou desvio de dinheiros, bens ou valores públicos]</w:t>
      </w:r>
      <w:r w:rsidDel="00000000" w:rsidR="00000000" w:rsidRPr="00000000">
        <w:rPr>
          <w:rFonts w:ascii="Arial" w:cs="Arial" w:eastAsia="Arial" w:hAnsi="Arial"/>
          <w:rtl w:val="0"/>
        </w:rPr>
        <w:t xml:space="preserve">, conforme </w:t>
      </w:r>
      <w:r w:rsidDel="00000000" w:rsidR="00000000" w:rsidRPr="00000000">
        <w:rPr>
          <w:rFonts w:ascii="Arial" w:cs="Arial" w:eastAsia="Arial" w:hAnsi="Arial"/>
          <w:color w:val="000000"/>
          <w:rtl w:val="0"/>
        </w:rPr>
        <w:t xml:space="preserve">fundamentado</w:t>
      </w:r>
      <w:r w:rsidDel="00000000" w:rsidR="00000000" w:rsidRPr="00000000">
        <w:rPr>
          <w:rFonts w:ascii="Arial" w:cs="Arial" w:eastAsia="Arial" w:hAnsi="Arial"/>
          <w:rtl w:val="0"/>
        </w:rPr>
        <w:t xml:space="preserve"> no </w:t>
      </w:r>
      <w:r w:rsidDel="00000000" w:rsidR="00000000" w:rsidRPr="00000000">
        <w:rPr>
          <w:rFonts w:ascii="Arial" w:cs="Arial" w:eastAsia="Arial" w:hAnsi="Arial"/>
          <w:b w:val="1"/>
          <w:i w:val="1"/>
          <w:color w:val="000000"/>
          <w:rtl w:val="0"/>
        </w:rPr>
        <w:t xml:space="preserve">Parecer Técnico Conclusivo de Análise de Prestação de Contas Final</w:t>
      </w:r>
      <w:r w:rsidDel="00000000" w:rsidR="00000000" w:rsidRPr="00000000">
        <w:rPr>
          <w:rFonts w:ascii="Arial" w:cs="Arial" w:eastAsia="Arial" w:hAnsi="Arial"/>
          <w:color w:val="000000"/>
          <w:rtl w:val="0"/>
        </w:rPr>
        <w:t xml:space="preserve">, que se manifestou pela </w:t>
      </w:r>
      <w:r w:rsidDel="00000000" w:rsidR="00000000" w:rsidRPr="00000000">
        <w:rPr>
          <w:rFonts w:ascii="Arial" w:cs="Arial" w:eastAsia="Arial" w:hAnsi="Arial"/>
          <w:b w:val="1"/>
          <w:rtl w:val="0"/>
        </w:rPr>
        <w:t xml:space="preserve">REJEIÇÃO </w:t>
      </w:r>
      <w:r w:rsidDel="00000000" w:rsidR="00000000" w:rsidRPr="00000000">
        <w:rPr>
          <w:rFonts w:ascii="Arial" w:cs="Arial" w:eastAsia="Arial" w:hAnsi="Arial"/>
          <w:rtl w:val="0"/>
        </w:rPr>
        <w:t xml:space="preserve">da prestação de contas</w:t>
      </w:r>
      <w:r w:rsidDel="00000000" w:rsidR="00000000" w:rsidRPr="00000000">
        <w:rPr>
          <w:rFonts w:ascii="Arial" w:cs="Arial" w:eastAsia="Arial" w:hAnsi="Arial"/>
          <w:color w:val="000000"/>
          <w:rtl w:val="0"/>
        </w:rPr>
        <w:t xml:space="preserve">, no </w:t>
      </w:r>
      <w:r w:rsidDel="00000000" w:rsidR="00000000" w:rsidRPr="00000000">
        <w:rPr>
          <w:rFonts w:ascii="Arial" w:cs="Arial" w:eastAsia="Arial" w:hAnsi="Arial"/>
          <w:b w:val="1"/>
          <w:i w:val="1"/>
          <w:rtl w:val="0"/>
        </w:rPr>
        <w:t xml:space="preserve">Relatório Técnico-Financeiro de Análise de Prestação de Contas Final,</w:t>
      </w:r>
      <w:r w:rsidDel="00000000" w:rsidR="00000000" w:rsidRPr="00000000">
        <w:rPr>
          <w:rFonts w:ascii="Arial" w:cs="Arial" w:eastAsia="Arial" w:hAnsi="Arial"/>
          <w:b w:val="1"/>
          <w:i w:val="1"/>
          <w:rtl w:val="0"/>
        </w:rPr>
        <w:t xml:space="preserve"> </w:t>
      </w:r>
      <w:r w:rsidDel="00000000" w:rsidR="00000000" w:rsidRPr="00000000">
        <w:rPr>
          <w:rFonts w:ascii="Arial" w:cs="Arial" w:eastAsia="Arial" w:hAnsi="Arial"/>
          <w:rtl w:val="0"/>
        </w:rPr>
        <w:t xml:space="preserve">que evidenciou irregularidades que equivaleram ao valor de R$ </w:t>
      </w:r>
      <w:r w:rsidDel="00000000" w:rsidR="00000000" w:rsidRPr="00000000">
        <w:rPr>
          <w:rFonts w:ascii="Arial" w:cs="Arial" w:eastAsia="Arial" w:hAnsi="Arial"/>
          <w:color w:val="c00000"/>
          <w:rtl w:val="0"/>
        </w:rPr>
        <w:t xml:space="preserve">[informar valor]</w:t>
      </w:r>
      <w:r w:rsidDel="00000000" w:rsidR="00000000" w:rsidRPr="00000000">
        <w:rPr>
          <w:rFonts w:ascii="Arial" w:cs="Arial" w:eastAsia="Arial" w:hAnsi="Arial"/>
          <w:rtl w:val="0"/>
        </w:rPr>
        <w:t xml:space="preserve">,</w:t>
      </w:r>
      <w:r w:rsidDel="00000000" w:rsidR="00000000" w:rsidRPr="00000000">
        <w:rPr>
          <w:rFonts w:ascii="Arial" w:cs="Arial" w:eastAsia="Arial" w:hAnsi="Arial"/>
          <w:b w:val="1"/>
          <w:i w:val="1"/>
          <w:rtl w:val="0"/>
        </w:rPr>
        <w:t xml:space="preserve"> </w:t>
      </w:r>
      <w:r w:rsidDel="00000000" w:rsidR="00000000" w:rsidRPr="00000000">
        <w:rPr>
          <w:rFonts w:ascii="Arial" w:cs="Arial" w:eastAsia="Arial" w:hAnsi="Arial"/>
          <w:color w:val="000000"/>
          <w:rtl w:val="0"/>
        </w:rPr>
        <w:t xml:space="preserve">bem como na documentação constante do referido processo. </w:t>
      </w:r>
      <w:r w:rsidDel="00000000" w:rsidR="00000000" w:rsidRPr="00000000">
        <w:rPr>
          <w:rFonts w:ascii="Arial" w:cs="Arial" w:eastAsia="Arial" w:hAnsi="Arial"/>
          <w:color w:val="c00000"/>
          <w:rtl w:val="0"/>
        </w:rPr>
        <w:t xml:space="preserve">[caso a parceria ainda esteja em vigência, informar sobre a rescisão unilateral da parceria]</w:t>
      </w:r>
      <w:r w:rsidDel="00000000" w:rsidR="00000000" w:rsidRPr="00000000">
        <w:rPr>
          <w:rtl w:val="0"/>
        </w:rPr>
      </w:r>
    </w:p>
    <w:p w:rsidR="00000000" w:rsidDel="00000000" w:rsidP="00000000" w:rsidRDefault="00000000" w:rsidRPr="00000000" w14:paraId="00000015">
      <w:pPr>
        <w:spacing w:after="0" w:line="240" w:lineRule="auto"/>
        <w:ind w:firstLine="708"/>
        <w:jc w:val="both"/>
        <w:rPr>
          <w:rFonts w:ascii="Arial" w:cs="Arial" w:eastAsia="Arial" w:hAnsi="Arial"/>
          <w:color w:val="000000"/>
        </w:rPr>
      </w:pPr>
      <w:r w:rsidDel="00000000" w:rsidR="00000000" w:rsidRPr="00000000">
        <w:rPr>
          <w:rFonts w:ascii="Arial" w:cs="Arial" w:eastAsia="Arial" w:hAnsi="Arial"/>
          <w:color w:val="000000"/>
          <w:rtl w:val="0"/>
        </w:rPr>
        <w:t xml:space="preserve">Assim, fica concedido o prazo de 30 (trinta) dias para que a </w:t>
      </w:r>
      <w:r w:rsidDel="00000000" w:rsidR="00000000" w:rsidRPr="00000000">
        <w:rPr>
          <w:rFonts w:ascii="Arial" w:cs="Arial" w:eastAsia="Arial" w:hAnsi="Arial"/>
          <w:color w:val="c00000"/>
          <w:rtl w:val="0"/>
        </w:rPr>
        <w:t xml:space="preserve">[nome da OSC] </w:t>
      </w:r>
      <w:r w:rsidDel="00000000" w:rsidR="00000000" w:rsidRPr="00000000">
        <w:rPr>
          <w:rFonts w:ascii="Arial" w:cs="Arial" w:eastAsia="Arial" w:hAnsi="Arial"/>
          <w:color w:val="000000"/>
          <w:rtl w:val="0"/>
        </w:rPr>
        <w:t xml:space="preserve">apresente recurso, a contar do recebimento da notificação, recorrendo desta decisão.</w:t>
      </w:r>
    </w:p>
    <w:p w:rsidR="00000000" w:rsidDel="00000000" w:rsidP="00000000" w:rsidRDefault="00000000" w:rsidRPr="00000000" w14:paraId="00000016">
      <w:pPr>
        <w:spacing w:after="0" w:line="240" w:lineRule="auto"/>
        <w:ind w:firstLine="708"/>
        <w:jc w:val="both"/>
        <w:rPr>
          <w:rFonts w:ascii="Arial" w:cs="Arial" w:eastAsia="Arial" w:hAnsi="Arial"/>
          <w:color w:val="c00000"/>
        </w:rPr>
      </w:pPr>
      <w:r w:rsidDel="00000000" w:rsidR="00000000" w:rsidRPr="00000000">
        <w:rPr>
          <w:rFonts w:ascii="Arial" w:cs="Arial" w:eastAsia="Arial" w:hAnsi="Arial"/>
          <w:i w:val="1"/>
          <w:color w:val="c00000"/>
          <w:rtl w:val="0"/>
        </w:rPr>
        <w:t xml:space="preserve">Em caso de irregular ou de rescisão unilateral da parceria e não comprovada a existência de dolo ou fraude e não seja o caso de restituição integral dos recursos, acrescentar:</w:t>
      </w:r>
      <w:r w:rsidDel="00000000" w:rsidR="00000000" w:rsidRPr="00000000">
        <w:rPr>
          <w:rFonts w:ascii="Arial" w:cs="Arial" w:eastAsia="Arial" w:hAnsi="Arial"/>
          <w:color w:val="c00000"/>
          <w:rtl w:val="0"/>
        </w:rPr>
        <w:t xml:space="preserve"> </w:t>
      </w:r>
    </w:p>
    <w:p w:rsidR="00000000" w:rsidDel="00000000" w:rsidP="00000000" w:rsidRDefault="00000000" w:rsidRPr="00000000" w14:paraId="00000017">
      <w:pPr>
        <w:spacing w:after="0" w:line="240" w:lineRule="auto"/>
        <w:ind w:firstLine="708"/>
        <w:jc w:val="both"/>
        <w:rPr>
          <w:rFonts w:ascii="Arial" w:cs="Arial" w:eastAsia="Arial" w:hAnsi="Arial"/>
        </w:rPr>
      </w:pPr>
      <w:r w:rsidDel="00000000" w:rsidR="00000000" w:rsidRPr="00000000">
        <w:rPr>
          <w:rFonts w:ascii="Arial" w:cs="Arial" w:eastAsia="Arial" w:hAnsi="Arial"/>
          <w:rtl w:val="0"/>
        </w:rPr>
        <w:t xml:space="preserve">Exaurido o prazo para interposição de recurso ou caso o recurso seja indeferido, a </w:t>
      </w:r>
      <w:r w:rsidDel="00000000" w:rsidR="00000000" w:rsidRPr="00000000">
        <w:rPr>
          <w:rFonts w:ascii="Arial" w:cs="Arial" w:eastAsia="Arial" w:hAnsi="Arial"/>
          <w:color w:val="c00000"/>
          <w:rtl w:val="0"/>
        </w:rPr>
        <w:t xml:space="preserve">[nome da OSC] </w:t>
      </w:r>
      <w:r w:rsidDel="00000000" w:rsidR="00000000" w:rsidRPr="00000000">
        <w:rPr>
          <w:rFonts w:ascii="Arial" w:cs="Arial" w:eastAsia="Arial" w:hAnsi="Arial"/>
          <w:rtl w:val="0"/>
        </w:rPr>
        <w:t xml:space="preserve">terá mais 30 (trinta) dias para solicitar autorização de ressarcimento ao erário por meio de ações compensatórias de interesse público, por meio de </w:t>
      </w:r>
      <w:r w:rsidDel="00000000" w:rsidR="00000000" w:rsidRPr="00000000">
        <w:rPr>
          <w:rFonts w:ascii="Arial" w:cs="Arial" w:eastAsia="Arial" w:hAnsi="Arial"/>
          <w:b w:val="1"/>
          <w:rtl w:val="0"/>
        </w:rPr>
        <w:t xml:space="preserve">OFÍCIO</w:t>
      </w:r>
      <w:r w:rsidDel="00000000" w:rsidR="00000000" w:rsidRPr="00000000">
        <w:rPr>
          <w:rFonts w:ascii="Arial" w:cs="Arial" w:eastAsia="Arial" w:hAnsi="Arial"/>
          <w:rtl w:val="0"/>
        </w:rPr>
        <w:t xml:space="preserve">, acompanhado do </w:t>
      </w:r>
      <w:r w:rsidDel="00000000" w:rsidR="00000000" w:rsidRPr="00000000">
        <w:rPr>
          <w:rFonts w:ascii="Arial" w:cs="Arial" w:eastAsia="Arial" w:hAnsi="Arial"/>
          <w:i w:val="1"/>
          <w:rtl w:val="0"/>
        </w:rPr>
        <w:t xml:space="preserve">Plano de Trabalho para Ressarcimento ao Erário por meio de Ações Compensatórias de Interesse Público</w:t>
      </w:r>
      <w:r w:rsidDel="00000000" w:rsidR="00000000" w:rsidRPr="00000000">
        <w:rPr>
          <w:rFonts w:ascii="Arial" w:cs="Arial" w:eastAsia="Arial" w:hAnsi="Arial"/>
          <w:rtl w:val="0"/>
        </w:rPr>
        <w:t xml:space="preserve">, que serão analisados pela SETADES.</w:t>
      </w:r>
    </w:p>
    <w:p w:rsidR="00000000" w:rsidDel="00000000" w:rsidP="00000000" w:rsidRDefault="00000000" w:rsidRPr="00000000" w14:paraId="00000018">
      <w:pPr>
        <w:spacing w:after="0" w:line="240" w:lineRule="auto"/>
        <w:ind w:firstLine="708"/>
        <w:jc w:val="both"/>
        <w:rPr>
          <w:rFonts w:ascii="Arial" w:cs="Arial" w:eastAsia="Arial" w:hAnsi="Arial"/>
          <w:color w:val="000000"/>
        </w:rPr>
      </w:pPr>
      <w:r w:rsidDel="00000000" w:rsidR="00000000" w:rsidRPr="00000000">
        <w:rPr>
          <w:rFonts w:ascii="Arial" w:cs="Arial" w:eastAsia="Arial" w:hAnsi="Arial"/>
          <w:rtl w:val="0"/>
        </w:rPr>
        <w:t xml:space="preserve">Em caso de não apresentação de recurso, de requerimento de ressarcimento ao erário por meio de ações compensatórias de interesse público, ou caso tais pedidos sejam indeferidos ou, ainda, caso as ações compensatórias executadas sejam rejeitadas, será calculado </w:t>
      </w:r>
      <w:r w:rsidDel="00000000" w:rsidR="00000000" w:rsidRPr="00000000">
        <w:rPr>
          <w:rFonts w:ascii="Arial" w:cs="Arial" w:eastAsia="Arial" w:hAnsi="Arial"/>
          <w:color w:val="000000"/>
          <w:rtl w:val="0"/>
        </w:rPr>
        <w:t xml:space="preserve">o valor a ser restituído pela OSC, mediante atualização monetária,</w:t>
      </w: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color w:val="000000"/>
          <w:rtl w:val="0"/>
        </w:rPr>
        <w:t xml:space="preserve">acrescido de juros calculados na forma da legislação vigente, conferido o prazo de até 30 (trinta) dias para devolução de recursos ao Estado, sob pena de imediata instauração de tomada de contas especial do responsável, bem como será avaliada a retomada de bens públicos </w:t>
      </w:r>
      <w:r w:rsidDel="00000000" w:rsidR="00000000" w:rsidRPr="00000000">
        <w:rPr>
          <w:rFonts w:ascii="Arial" w:cs="Arial" w:eastAsia="Arial" w:hAnsi="Arial"/>
          <w:color w:val="c00000"/>
          <w:rtl w:val="0"/>
        </w:rPr>
        <w:t xml:space="preserve">[em caso de existência de bens adquiridos com recursos repassados]</w:t>
      </w:r>
      <w:r w:rsidDel="00000000" w:rsidR="00000000" w:rsidRPr="00000000">
        <w:rPr>
          <w:rFonts w:ascii="Arial" w:cs="Arial" w:eastAsia="Arial" w:hAnsi="Arial"/>
          <w:color w:val="000000"/>
          <w:rtl w:val="0"/>
        </w:rPr>
        <w:t xml:space="preserve">, a aplicação de sanção administrativa previstas no art. 73 da Lei n.º 13.019, de 2014, e outras medidas em decorrência de eventuais atos de improbidade administrativa, conforme</w:t>
      </w: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color w:val="000000"/>
          <w:rtl w:val="0"/>
        </w:rPr>
        <w:t xml:space="preserve">Lei n.º 8.429, de 2 de junho de 1992.</w:t>
      </w:r>
    </w:p>
    <w:p w:rsidR="00000000" w:rsidDel="00000000" w:rsidP="00000000" w:rsidRDefault="00000000" w:rsidRPr="00000000" w14:paraId="00000019">
      <w:pPr>
        <w:spacing w:after="0" w:line="240" w:lineRule="auto"/>
        <w:jc w:val="right"/>
        <w:rPr>
          <w:rFonts w:ascii="Arial" w:cs="Arial" w:eastAsia="Arial" w:hAnsi="Arial"/>
        </w:rPr>
      </w:pPr>
      <w:r w:rsidDel="00000000" w:rsidR="00000000" w:rsidRPr="00000000">
        <w:rPr>
          <w:rtl w:val="0"/>
        </w:rPr>
      </w:r>
    </w:p>
    <w:p w:rsidR="00000000" w:rsidDel="00000000" w:rsidP="00000000" w:rsidRDefault="00000000" w:rsidRPr="00000000" w14:paraId="0000001A">
      <w:pPr>
        <w:spacing w:after="0" w:line="240" w:lineRule="auto"/>
        <w:jc w:val="right"/>
        <w:rPr>
          <w:rFonts w:ascii="Arial" w:cs="Arial" w:eastAsia="Arial" w:hAnsi="Arial"/>
        </w:rPr>
      </w:pPr>
      <w:r w:rsidDel="00000000" w:rsidR="00000000" w:rsidRPr="00000000">
        <w:rPr>
          <w:rFonts w:ascii="Arial" w:cs="Arial" w:eastAsia="Arial" w:hAnsi="Arial"/>
          <w:rtl w:val="0"/>
        </w:rPr>
        <w:t xml:space="preserve">Vitória/ES, </w:t>
      </w:r>
      <w:r w:rsidDel="00000000" w:rsidR="00000000" w:rsidRPr="00000000">
        <w:rPr>
          <w:rFonts w:ascii="Arial" w:cs="Arial" w:eastAsia="Arial" w:hAnsi="Arial"/>
          <w:color w:val="c00000"/>
          <w:rtl w:val="0"/>
        </w:rPr>
        <w:t xml:space="preserve">[dia]</w:t>
      </w:r>
      <w:r w:rsidDel="00000000" w:rsidR="00000000" w:rsidRPr="00000000">
        <w:rPr>
          <w:rFonts w:ascii="Arial" w:cs="Arial" w:eastAsia="Arial" w:hAnsi="Arial"/>
          <w:rtl w:val="0"/>
        </w:rPr>
        <w:t xml:space="preserve"> de </w:t>
      </w:r>
      <w:r w:rsidDel="00000000" w:rsidR="00000000" w:rsidRPr="00000000">
        <w:rPr>
          <w:rFonts w:ascii="Arial" w:cs="Arial" w:eastAsia="Arial" w:hAnsi="Arial"/>
          <w:color w:val="c00000"/>
          <w:rtl w:val="0"/>
        </w:rPr>
        <w:t xml:space="preserve">[mês] </w:t>
      </w:r>
      <w:r w:rsidDel="00000000" w:rsidR="00000000" w:rsidRPr="00000000">
        <w:rPr>
          <w:rFonts w:ascii="Arial" w:cs="Arial" w:eastAsia="Arial" w:hAnsi="Arial"/>
          <w:rtl w:val="0"/>
        </w:rPr>
        <w:t xml:space="preserve">de </w:t>
      </w:r>
      <w:r w:rsidDel="00000000" w:rsidR="00000000" w:rsidRPr="00000000">
        <w:rPr>
          <w:rFonts w:ascii="Arial" w:cs="Arial" w:eastAsia="Arial" w:hAnsi="Arial"/>
          <w:color w:val="c00000"/>
          <w:rtl w:val="0"/>
        </w:rPr>
        <w:t xml:space="preserve">[ano]</w:t>
      </w:r>
      <w:r w:rsidDel="00000000" w:rsidR="00000000" w:rsidRPr="00000000">
        <w:rPr>
          <w:rFonts w:ascii="Arial" w:cs="Arial" w:eastAsia="Arial" w:hAnsi="Arial"/>
          <w:rtl w:val="0"/>
        </w:rPr>
        <w:t xml:space="preserve">.</w:t>
      </w:r>
    </w:p>
    <w:p w:rsidR="00000000" w:rsidDel="00000000" w:rsidP="00000000" w:rsidRDefault="00000000" w:rsidRPr="00000000" w14:paraId="0000001B">
      <w:pPr>
        <w:spacing w:after="0" w:line="240"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01C">
      <w:pPr>
        <w:spacing w:after="0" w:line="240" w:lineRule="auto"/>
        <w:jc w:val="center"/>
        <w:rPr>
          <w:rFonts w:ascii="Arial" w:cs="Arial" w:eastAsia="Arial" w:hAnsi="Arial"/>
          <w:b w:val="1"/>
          <w:color w:val="c00000"/>
        </w:rPr>
      </w:pPr>
      <w:r w:rsidDel="00000000" w:rsidR="00000000" w:rsidRPr="00000000">
        <w:rPr>
          <w:rFonts w:ascii="Arial" w:cs="Arial" w:eastAsia="Arial" w:hAnsi="Arial"/>
          <w:b w:val="1"/>
          <w:color w:val="c00000"/>
          <w:rtl w:val="0"/>
        </w:rPr>
        <w:t xml:space="preserve">[NOME DO SECRETÁRIO (a)]</w:t>
      </w:r>
    </w:p>
    <w:p w:rsidR="00000000" w:rsidDel="00000000" w:rsidP="00000000" w:rsidRDefault="00000000" w:rsidRPr="00000000" w14:paraId="0000001D">
      <w:pPr>
        <w:spacing w:after="0" w:line="240" w:lineRule="auto"/>
        <w:jc w:val="center"/>
        <w:rPr>
          <w:rFonts w:ascii="Arial" w:cs="Arial" w:eastAsia="Arial" w:hAnsi="Arial"/>
          <w:color w:val="000000"/>
        </w:rPr>
      </w:pPr>
      <w:r w:rsidDel="00000000" w:rsidR="00000000" w:rsidRPr="00000000">
        <w:rPr>
          <w:rFonts w:ascii="Arial" w:cs="Arial" w:eastAsia="Arial" w:hAnsi="Arial"/>
          <w:color w:val="000000"/>
          <w:rtl w:val="0"/>
        </w:rPr>
        <w:t xml:space="preserve">Secretário (a) de Estado de Trabalho, Assistência e Desenvolvimento Social</w:t>
      </w:r>
    </w:p>
    <w:sectPr>
      <w:headerReference r:id="rId7" w:type="default"/>
      <w:footerReference r:id="rId8" w:type="default"/>
      <w:pgSz w:h="16838" w:w="11906" w:orient="portrait"/>
      <w:pgMar w:bottom="1134" w:top="1701" w:left="1701" w:right="1134"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imes New Roman"/>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gjdgxs" w:id="0"/>
    <w:bookmarkEnd w:id="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Rua Doutor João Carlos de Souza, 107, Ed. Green Tower, Barro Vermelho, Vitória/ES. CEP: 29.057-530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Pr>
      <w:drawing>
        <wp:inline distB="0" distT="0" distL="0" distR="0">
          <wp:extent cx="2571750" cy="971550"/>
          <wp:effectExtent b="0" l="0" r="0" t="0"/>
          <wp:docPr descr="Brasao SETADES_cor_horizontal_selecao.png" id="2" name="image1.png"/>
          <a:graphic>
            <a:graphicData uri="http://schemas.openxmlformats.org/drawingml/2006/picture">
              <pic:pic>
                <pic:nvPicPr>
                  <pic:cNvPr descr="Brasao SETADES_cor_horizontal_selecao.png" id="0" name="image1.png"/>
                  <pic:cNvPicPr preferRelativeResize="0"/>
                </pic:nvPicPr>
                <pic:blipFill>
                  <a:blip r:embed="rId1"/>
                  <a:srcRect b="0" l="0" r="0" t="0"/>
                  <a:stretch>
                    <a:fillRect/>
                  </a:stretch>
                </pic:blipFill>
                <pic:spPr>
                  <a:xfrm>
                    <a:off x="0" y="0"/>
                    <a:ext cx="2571750" cy="971550"/>
                  </a:xfrm>
                  <a:prstGeom prst="rect"/>
                  <a:ln/>
                </pic:spPr>
              </pic:pic>
            </a:graphicData>
          </a:graphic>
        </wp:inline>
      </w:drawing>
    </w: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pt-BR"/>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spacing w:line="240" w:lineRule="auto"/>
    </w:pPr>
    <w:rPr>
      <w:rFonts w:ascii="Times New Roman" w:cs="Times New Roman" w:eastAsia="Times New Roman" w:hAnsi="Times New Roman"/>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Ttulo2">
    <w:name w:val="heading 2"/>
    <w:basedOn w:val="Normal"/>
    <w:link w:val="Ttulo2Char"/>
    <w:uiPriority w:val="9"/>
    <w:qFormat w:val="1"/>
    <w:rsid w:val="00077E5D"/>
    <w:pPr>
      <w:spacing w:after="100" w:afterAutospacing="1" w:before="100" w:beforeAutospacing="1" w:line="240" w:lineRule="auto"/>
      <w:outlineLvl w:val="1"/>
    </w:pPr>
    <w:rPr>
      <w:rFonts w:ascii="Times New Roman" w:cs="Times New Roman" w:eastAsia="Times New Roman" w:hAnsi="Times New Roman"/>
      <w:b w:val="1"/>
      <w:bCs w:val="1"/>
      <w:sz w:val="36"/>
      <w:szCs w:val="36"/>
      <w:lang w:eastAsia="pt-BR"/>
    </w:rPr>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character" w:styleId="Ttulo2Char" w:customStyle="1">
    <w:name w:val="Título 2 Char"/>
    <w:basedOn w:val="Fontepargpadro"/>
    <w:link w:val="Ttulo2"/>
    <w:uiPriority w:val="9"/>
    <w:rsid w:val="00077E5D"/>
    <w:rPr>
      <w:rFonts w:ascii="Times New Roman" w:cs="Times New Roman" w:eastAsia="Times New Roman" w:hAnsi="Times New Roman"/>
      <w:b w:val="1"/>
      <w:bCs w:val="1"/>
      <w:sz w:val="36"/>
      <w:szCs w:val="36"/>
      <w:lang w:eastAsia="pt-BR"/>
    </w:rPr>
  </w:style>
  <w:style w:type="paragraph" w:styleId="NormalWeb">
    <w:name w:val="Normal (Web)"/>
    <w:basedOn w:val="Normal"/>
    <w:uiPriority w:val="99"/>
    <w:semiHidden w:val="1"/>
    <w:unhideWhenUsed w:val="1"/>
    <w:rsid w:val="00077E5D"/>
    <w:pPr>
      <w:spacing w:after="100" w:afterAutospacing="1" w:before="100" w:beforeAutospacing="1" w:line="240" w:lineRule="auto"/>
    </w:pPr>
    <w:rPr>
      <w:rFonts w:ascii="Times New Roman" w:cs="Times New Roman" w:eastAsia="Times New Roman" w:hAnsi="Times New Roman"/>
      <w:sz w:val="24"/>
      <w:szCs w:val="24"/>
      <w:lang w:eastAsia="pt-BR"/>
    </w:rPr>
  </w:style>
  <w:style w:type="paragraph" w:styleId="Cabealho">
    <w:name w:val="header"/>
    <w:basedOn w:val="Normal"/>
    <w:link w:val="CabealhoChar"/>
    <w:uiPriority w:val="99"/>
    <w:unhideWhenUsed w:val="1"/>
    <w:rsid w:val="00DF2C44"/>
    <w:pPr>
      <w:tabs>
        <w:tab w:val="center" w:pos="4252"/>
        <w:tab w:val="right" w:pos="8504"/>
      </w:tabs>
      <w:spacing w:after="0" w:line="240" w:lineRule="auto"/>
    </w:pPr>
  </w:style>
  <w:style w:type="character" w:styleId="CabealhoChar" w:customStyle="1">
    <w:name w:val="Cabeçalho Char"/>
    <w:basedOn w:val="Fontepargpadro"/>
    <w:link w:val="Cabealho"/>
    <w:uiPriority w:val="99"/>
    <w:rsid w:val="00DF2C44"/>
  </w:style>
  <w:style w:type="paragraph" w:styleId="Rodap">
    <w:name w:val="footer"/>
    <w:basedOn w:val="Normal"/>
    <w:link w:val="RodapChar"/>
    <w:uiPriority w:val="99"/>
    <w:unhideWhenUsed w:val="1"/>
    <w:rsid w:val="00DF2C44"/>
    <w:pPr>
      <w:tabs>
        <w:tab w:val="center" w:pos="4252"/>
        <w:tab w:val="right" w:pos="8504"/>
      </w:tabs>
      <w:spacing w:after="0" w:line="240" w:lineRule="auto"/>
    </w:pPr>
  </w:style>
  <w:style w:type="character" w:styleId="RodapChar" w:customStyle="1">
    <w:name w:val="Rodapé Char"/>
    <w:basedOn w:val="Fontepargpadro"/>
    <w:link w:val="Rodap"/>
    <w:uiPriority w:val="99"/>
    <w:rsid w:val="00DF2C44"/>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3eqlvj4KW+PEK6UCfExoSKvKPbA==">CgMxLjAyCGguZ2pkZ3hzOAByITFyOWt2LU1WdTJzMGR6MzZuYllmMG5rSVFUYVhkRzZvVw==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2022-10-10T13:45:00Z</dcterms:created>
  <dc:creator>Talita</dc:creator>
</cp:coreProperties>
</file>